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r>
        <w:rPr>
          <w:rFonts w:hint="eastAsia" w:ascii="黑体" w:hAnsi="黑体" w:eastAsia="黑体" w:cs="黑体"/>
          <w:sz w:val="32"/>
          <w:szCs w:val="32"/>
        </w:rPr>
        <w:t>：</w:t>
      </w:r>
    </w:p>
    <w:p>
      <w:pPr>
        <w:jc w:val="center"/>
        <w:rPr>
          <w:rFonts w:ascii="宋体" w:cs="宋体"/>
          <w:b/>
          <w:bCs/>
          <w:sz w:val="32"/>
          <w:szCs w:val="32"/>
        </w:rPr>
      </w:pPr>
      <w:r>
        <w:rPr>
          <w:rFonts w:hint="eastAsia" w:ascii="黑体" w:hAnsi="黑体" w:eastAsia="黑体" w:cs="黑体"/>
          <w:b/>
          <w:bCs/>
          <w:sz w:val="32"/>
          <w:szCs w:val="32"/>
        </w:rPr>
        <w:t>十九大专项研究课题</w:t>
      </w:r>
      <w:r>
        <w:rPr>
          <w:rFonts w:ascii="黑体" w:hAnsi="黑体" w:eastAsia="黑体" w:cs="黑体"/>
          <w:b/>
          <w:bCs/>
          <w:sz w:val="32"/>
          <w:szCs w:val="32"/>
        </w:rPr>
        <w:t>选题指南</w:t>
      </w:r>
    </w:p>
    <w:p>
      <w:pPr>
        <w:spacing w:line="540" w:lineRule="exact"/>
        <w:ind w:left="361" w:hanging="361" w:hangingChars="150"/>
        <w:rPr>
          <w:rFonts w:hint="eastAsia"/>
          <w:b/>
          <w:sz w:val="24"/>
        </w:rPr>
      </w:pPr>
    </w:p>
    <w:p>
      <w:pPr>
        <w:widowControl/>
        <w:jc w:val="left"/>
        <w:rPr>
          <w:rFonts w:hint="eastAsia"/>
        </w:rPr>
      </w:pP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1. 海洋强国战略目标下江苏海洋经济特色发展路径研究</w:t>
      </w: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2. 新发展理念视野下江苏沿海经济带的建设举措研究</w:t>
      </w: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3. 乡村振兴战略江苏示范区建设的对策建议研究</w:t>
      </w: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4. 江苏沿海经济带构建现代化经济体系的协调共进研究</w:t>
      </w: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5. 上海探索建设自由贸易港对江苏的影响及其应对研究</w:t>
      </w: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6. 江苏绿色海洋经济发展的创新举措与长效机制研究</w:t>
      </w: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7. 开创江苏沿海人与自然和谐共生新篇章的对策建议研究</w:t>
      </w: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8. 江苏沿海建设国家海洋公园的可行性论证及对策举措研究</w:t>
      </w: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9. 生态文明目标下江苏沿海自然资源科学利用方案研究</w:t>
      </w: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10. 应对我国社会主要矛盾变化的江苏新实践研究</w:t>
      </w: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11. 江苏沿海全面开放新格局、新要求、新举措研究</w:t>
      </w: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12.“</w:t>
      </w:r>
      <w:r>
        <w:rPr>
          <w:rFonts w:ascii="Times New Roman" w:hAnsi="Times New Roman" w:eastAsia="仿宋_GB2312"/>
          <w:color w:val="000000"/>
          <w:sz w:val="24"/>
        </w:rPr>
        <w:t>1+3</w:t>
      </w:r>
      <w:r>
        <w:rPr>
          <w:rFonts w:hint="eastAsia" w:ascii="Times New Roman" w:hAnsi="Times New Roman" w:eastAsia="仿宋_GB2312"/>
          <w:color w:val="000000"/>
          <w:sz w:val="24"/>
        </w:rPr>
        <w:t>”功能区战略下江苏向海洋发展的蓝色板块崛起研究</w:t>
      </w: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13. “</w:t>
      </w:r>
      <w:r>
        <w:rPr>
          <w:rFonts w:ascii="Times New Roman" w:hAnsi="Times New Roman" w:eastAsia="仿宋_GB2312"/>
          <w:color w:val="000000"/>
          <w:sz w:val="24"/>
        </w:rPr>
        <w:t>1+3</w:t>
      </w:r>
      <w:r>
        <w:rPr>
          <w:rFonts w:hint="eastAsia" w:ascii="Times New Roman" w:hAnsi="Times New Roman" w:eastAsia="仿宋_GB2312"/>
          <w:color w:val="000000"/>
          <w:sz w:val="24"/>
        </w:rPr>
        <w:t>”功能区战略下江苏陆海统筹的创新举措研究</w:t>
      </w: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14. “</w:t>
      </w:r>
      <w:r>
        <w:rPr>
          <w:rFonts w:ascii="Times New Roman" w:hAnsi="Times New Roman" w:eastAsia="仿宋_GB2312"/>
          <w:color w:val="000000"/>
          <w:sz w:val="24"/>
        </w:rPr>
        <w:t>1+3</w:t>
      </w:r>
      <w:r>
        <w:rPr>
          <w:rFonts w:hint="eastAsia" w:ascii="Times New Roman" w:hAnsi="Times New Roman" w:eastAsia="仿宋_GB2312"/>
          <w:color w:val="000000"/>
          <w:sz w:val="24"/>
        </w:rPr>
        <w:t>”功能区战略下江苏海洋特色产业发展对策研究</w:t>
      </w: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15.“</w:t>
      </w:r>
      <w:r>
        <w:rPr>
          <w:rFonts w:ascii="Times New Roman" w:hAnsi="Times New Roman" w:eastAsia="仿宋_GB2312"/>
          <w:color w:val="000000"/>
          <w:sz w:val="24"/>
        </w:rPr>
        <w:t>1+3</w:t>
      </w:r>
      <w:r>
        <w:rPr>
          <w:rFonts w:hint="eastAsia" w:ascii="Times New Roman" w:hAnsi="Times New Roman" w:eastAsia="仿宋_GB2312"/>
          <w:color w:val="000000"/>
          <w:sz w:val="24"/>
        </w:rPr>
        <w:t>”功能区战略下江苏海洋经济创新驱动力新动能培育研究</w:t>
      </w: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16. “</w:t>
      </w:r>
      <w:r>
        <w:rPr>
          <w:rFonts w:ascii="Times New Roman" w:hAnsi="Times New Roman" w:eastAsia="仿宋_GB2312"/>
          <w:color w:val="000000"/>
          <w:sz w:val="24"/>
        </w:rPr>
        <w:t>1+3</w:t>
      </w:r>
      <w:r>
        <w:rPr>
          <w:rFonts w:hint="eastAsia" w:ascii="Times New Roman" w:hAnsi="Times New Roman" w:eastAsia="仿宋_GB2312"/>
          <w:color w:val="000000"/>
          <w:sz w:val="24"/>
        </w:rPr>
        <w:t>”功能区战略下江苏沿海港产城一体化发展路线图研究</w:t>
      </w: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17. 乡村振兴战略下沿海特色小镇模式及优化研究</w:t>
      </w:r>
    </w:p>
    <w:p>
      <w:pPr>
        <w:spacing w:line="540" w:lineRule="exact"/>
        <w:ind w:left="360" w:hanging="360" w:hangingChars="150"/>
        <w:rPr>
          <w:rFonts w:ascii="Times New Roman" w:hAnsi="Times New Roman" w:eastAsia="仿宋_GB2312"/>
          <w:color w:val="000000"/>
          <w:sz w:val="24"/>
        </w:rPr>
      </w:pPr>
      <w:r>
        <w:rPr>
          <w:rFonts w:hint="eastAsia" w:ascii="Times New Roman" w:hAnsi="Times New Roman" w:eastAsia="仿宋_GB2312"/>
          <w:color w:val="000000"/>
          <w:sz w:val="24"/>
        </w:rPr>
        <w:t>18. 新发展理念下苏北地区生态优先绿色发展的动力方向及扶持策略研究</w:t>
      </w:r>
    </w:p>
    <w:p>
      <w:pPr>
        <w:spacing w:line="540" w:lineRule="exact"/>
        <w:ind w:left="360" w:hanging="360" w:hangingChars="150"/>
        <w:rPr>
          <w:rFonts w:hint="eastAsia" w:ascii="Times New Roman" w:hAnsi="Times New Roman" w:eastAsia="仿宋_GB2312"/>
          <w:color w:val="000000"/>
          <w:sz w:val="24"/>
        </w:rPr>
      </w:pPr>
      <w:r>
        <w:rPr>
          <w:rFonts w:hint="eastAsia" w:ascii="Times New Roman" w:hAnsi="Times New Roman" w:eastAsia="仿宋_GB2312"/>
          <w:color w:val="000000"/>
          <w:sz w:val="24"/>
        </w:rPr>
        <w:t>19. 江苏海洋新兴生物产业发展路径研究</w:t>
      </w:r>
    </w:p>
    <w:p>
      <w:pPr>
        <w:spacing w:line="540" w:lineRule="exact"/>
        <w:ind w:left="360" w:hanging="360" w:hangingChars="150"/>
        <w:rPr>
          <w:rFonts w:hint="eastAsia" w:ascii="Times New Roman" w:hAnsi="Times New Roman" w:eastAsia="仿宋_GB2312"/>
          <w:color w:val="000000"/>
          <w:sz w:val="24"/>
        </w:rPr>
      </w:pPr>
      <w:r>
        <w:rPr>
          <w:rFonts w:hint="eastAsia" w:ascii="Times New Roman" w:hAnsi="Times New Roman" w:eastAsia="仿宋_GB2312"/>
          <w:color w:val="000000"/>
          <w:sz w:val="24"/>
        </w:rPr>
        <w:t>20. 江苏沿海地区先进制造业的培育机制研究</w:t>
      </w:r>
    </w:p>
    <w:p>
      <w:pPr>
        <w:spacing w:line="540" w:lineRule="exact"/>
        <w:ind w:left="360" w:hanging="360" w:hangingChars="150"/>
        <w:rPr>
          <w:rFonts w:hint="eastAsia" w:ascii="Times New Roman" w:hAnsi="Times New Roman" w:eastAsia="仿宋_GB2312"/>
          <w:color w:val="000000"/>
          <w:sz w:val="24"/>
        </w:rPr>
      </w:pPr>
      <w:r>
        <w:rPr>
          <w:rFonts w:hint="eastAsia" w:ascii="Times New Roman" w:hAnsi="Times New Roman" w:eastAsia="仿宋_GB2312"/>
          <w:color w:val="000000"/>
          <w:sz w:val="24"/>
        </w:rPr>
        <w:t>21. 乡村振兴背景下江苏沿海村庄空间整治研究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小标宋_GBK">
    <w:altName w:val="方正兰亭超细黑简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宋体"/>
    <w:panose1 w:val="020106010300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7A"/>
    <w:family w:val="swiss"/>
    <w:pitch w:val="default"/>
    <w:sig w:usb0="80000287" w:usb1="28C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413B4"/>
    <w:rsid w:val="648413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2017-11-14T06:08:00Z</dcterms:created>
  <dc:creator>sp</dc:creator>
  <cp:lastModifiedBy>sp</cp:lastModifiedBy>
  <dcterms:modified xsi:type="dcterms:W3CDTF">2017-11-14T06:08:53Z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